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97 vom 12. Februar 2008</w:t>
      </w:r>
    </w:p>
    <w:p>
      <w:r>
        <w:t>GR Gerichte, 2008-02-12, DE</w:t>
      </w:r>
    </w:p>
    <w:p>
      <w:r>
        <w:rPr>
          <w:b/>
        </w:rPr>
        <w:t xml:space="preserve">Quelle: </w:t>
      </w:r>
      <w:r>
        <w:t>https://mcp.opencaselaw.ch/entscheid/gr_gerichte_ZF 2007 97</w:t>
      </w:r>
    </w:p>
    <w:p>
      <w:r>
        <w:t>FR: GR_GERICHTE ZF 2007 97 du 12 février 2008</w:t>
      </w:r>
    </w:p>
    <w:p>
      <w:r>
        <w:t>IT: GR_GERICHTE ZF 2007 97 del 12 febbraio 2008</w:t>
      </w:r>
    </w:p>
    <w:p>
      <w:pPr>
        <w:pStyle w:val="Heading2"/>
      </w:pPr>
      <w:r>
        <w:t>Regeste</w:t>
      </w:r>
    </w:p>
    <w:p>
      <w:r>
        <w:t>Nebenfolgen Ehescheidung | ZGB Eherecht</w:t>
      </w:r>
    </w:p>
    <w:p>
      <w:pPr>
        <w:pStyle w:val="Heading2"/>
      </w:pPr>
      <w:r>
        <w:t>Erwägungen</w:t>
      </w:r>
    </w:p>
    <w:p>
      <w:r>
        <w:rPr>
          <w:b/>
        </w:rPr>
        <w:t>E. 2</w:t>
      </w:r>
    </w:p>
    <w:p>
      <w:r>
        <w:t>A. Y., geboren am 15. August 1963, und X., geboren am 1. September 1985, heirateten am 21. November 2001 vor dem Zivilstandsamt B.. Aus dieser Ehe ging der Sohn A., geboren am 22. Mai 2004, hervor. Die Familie wohnte bis zur Trennung in B.. B. Am 15. März 2004 stellte X. beim Bezirksgerichtspräsidenten Plessur ein Gesuch um Erlass von Eheschutzmassnahmen, zog dieses Gesuch jedoch we- nige Tage später wieder zurück. Am 1. Dezember 2004 schlossen die Parteien eine Trennungsvereinbarung. In der Folge reiste X. mit ihrem Sohn nach Brasilien aus, kehrte jedoch kurze Zeit später wieder in die Schweiz zurück. C. Am 13. Mai 2005 ersuchte X. den Bezirksgerichtspräsidenten Plessur erneut um Erlass eheschutzrichterlicher Massnahmen, woraufhin ihr dieser mit Ver- fügung vom 18. Mai 2005 die damalige Wohnung der Parteien superprovisorisch zuwies. Mit Verfügung vom 26. Mai 2005 errichtete das Bezirksgerichtspräsidium Plessur für den Sohn A. ferner eine Beistandschaft gemäss Art. 308 Abs. 1 und 2 ZGB und wies die Vormundschaftsbehörde des Kreises B. an, einen Beistand zu ernennen. Nach Anhörung der Ehegatten stellte das Bezirksgerichtspräsidium Ples- sur mit Verfügung vom 10. Juni 2005 schliesslich die Berechtigung der Parteien zum Getrenntleben fest und entzog ihnen unter Einräumung eines angemessenen Be- suchsrechts die elterliche Obhut über A.. Y. wurde des Weiteren verpflichtet, an den Unterhalt seines Sohnes monatlich Fr. 450.-- zuzüglich Kinderzulagen zu bezahlen. Ein ehelicher Unterhalt wurde nicht zugesprochen. D. Anlässlich einer Anhörung vor dem Bezirksgerichtspräsidium Plessur am 2. November 2005 erklärten beide Parteien übereinstimmend die Absicht, sich scheiden zu lassen. Aufgrund dieser Aussagen schrieb das Bezirksgerichtspräsi- dium Plessur das Eheschutzverfahren ab und stellte die Rechtshängigkeit des Scheidungsverfahrens fest. X. bestätigte jedoch in der Folge ihren Scheidungswil- len nicht. Y. verzichtete unter diesen Umständen auf eine Weiterführung des Schei- dungsverfahrens, weshalb dieses mit Verfügung vom 12. September 2006 als erle- digt abgeschrieben wurde. E. Nach Ablauf der zweijährigen Trennungsfrist reichte Y. am 5. Dezem- ber 2006 beim Kreisamt B. eine Scheidungsklage ein, worin er die elterliche Sorge über den Sohn A., sowie die Regelung des Besuchsrechts, die Festsetzung eines Unterhaltsbeitrages für A., die Vornahme der güterrechtlichen Auseinandersetzung und die hälftige Teilung der Freizügigkeitsguthaben beantragte. Nach erfolglos ver- laufener Sühneverhandlung stellte der Kreispräsident B. am 9. Februar 2007 den</w:t>
      </w:r>
    </w:p>
    <w:p>
      <w:r>
        <w:rPr>
          <w:b/>
        </w:rPr>
        <w:t>E. 3</w:t>
      </w:r>
    </w:p>
    <w:p>
      <w:r>
        <w:t>Regelung des Besuchsrechts.</w:t>
      </w:r>
    </w:p>
    <w:p>
      <w:r>
        <w:rPr>
          <w:b/>
        </w:rPr>
        <w:t>E. 4</w:t>
      </w:r>
    </w:p>
    <w:p>
      <w:r>
        <w:t>Festsetzung der Kinderunterhaltsbeiträge der Eltern.</w:t>
      </w:r>
    </w:p>
    <w:p>
      <w:r>
        <w:rPr>
          <w:b/>
        </w:rPr>
        <w:t>E. 5</w:t>
      </w:r>
    </w:p>
    <w:p>
      <w:r>
        <w:t>Von einem nachehelichen Unterhalt sei abzusehen.</w:t>
      </w:r>
    </w:p>
    <w:p>
      <w:r>
        <w:rPr>
          <w:b/>
        </w:rPr>
        <w:t>E. 6</w:t>
      </w:r>
    </w:p>
    <w:p>
      <w:r>
        <w:t>Güterrechtliche Auseinandersetzung gemäss Gesetz.</w:t>
      </w:r>
    </w:p>
    <w:p>
      <w:r>
        <w:rPr>
          <w:b/>
        </w:rPr>
        <w:t>E. 7</w:t>
      </w:r>
    </w:p>
    <w:p>
      <w:r>
        <w:t>Allfällige gegenseitige Aufteilung der Freizügigkeitsguthaben.</w:t>
      </w:r>
    </w:p>
    <w:p>
      <w:r>
        <w:rPr>
          <w:b/>
        </w:rPr>
        <w:t>E. 8</w:t>
      </w:r>
    </w:p>
    <w:p>
      <w:r>
        <w:t>X. steht kein Anspruch auf nachehelichen Unterhalt zu.</w:t>
      </w:r>
    </w:p>
    <w:p>
      <w:r>
        <w:rPr>
          <w:b/>
        </w:rPr>
        <w:t>E. 9</w:t>
      </w:r>
    </w:p>
    <w:p>
      <w:r>
        <w:t>Die Kosten des Kreisamtes B. von CHF 300.00 sowie die Kosten des Bezirksgerichtes Plessur von CHF 4'916.25 (Gerichtsgebühren CHF 4'000.00, Schreibgebühren CHF 625.00, Bahrgebühren CHF 291.25) tragen die Parteien je zur Hälfte. Da beide mit einer Bewilligung zur unentgeltlichen Rechtspflege prozessieren, werden die Gerichtskosten der Stadt B. und dem Kanton Graubünden in Rechnung gestellt. Die ausseramtlichen Kosten werden wettgeschlagen.</w:t>
      </w:r>
    </w:p>
    <w:p>
      <w:r>
        <w:rPr>
          <w:b/>
        </w:rPr>
        <w:t>E. 10</w:t>
      </w:r>
    </w:p>
    <w:p>
      <w:r>
        <w:t>Den Parteivertretern wird eine Frist von 10 Tagen ab Mitteilung des vorliegenden Urteils gesetzt, um eine detaillierte Honorarnote betref- fend Anwaltsaufwand (samt Einzahlungsschein) einzureichen und ihre diesbezüglichen Ansprüche zu beziffern. Bei Nicht-Einhaltung dieser</w:t>
      </w:r>
    </w:p>
    <w:p>
      <w:r>
        <w:t>5 Frist wird der Bezirksgerichtspräsident den Aufwand nach pflicht- gemässem Ermessen festsetzen.</w:t>
      </w:r>
    </w:p>
    <w:p>
      <w:r>
        <w:rPr>
          <w:b/>
        </w:rPr>
        <w:t>E. 11</w:t>
      </w:r>
    </w:p>
    <w:p>
      <w:r>
        <w:t>Demnach erkennt die Zivilkammer : 1. Die Berufung wird teilweise gutgeheissen und Ziffer 3 letzter Satz des ange- fochtenen Urteils wird aufgehoben. 2.a) X. wird das Recht eingeräumt, ihren Sohn A. während insgesamt vier Wo- chen im Jahr an seinem Wohnort zu besuchen. b) Ab vollendetem 10. Altersjahr von A. wird X. das Recht eingeräumt, anstelle des Besuchsrechts von vier Wochen am Wohnort von A., ihren Sohn während zwei Wochen im Jahr an seinem Wohnort zu besuchen und mit ihm während zwei Wochen im Jahr Ferien an einem beliebigen Ort zu verbringen. c) Die Vormundschaftsbehörde des Kreises B. wird angewiesen, die Moda- litäten des Besuchs- und Ferienrechts zu regeln und zu überwachen. 3. Die Kosten des Berufungsverfahrens von Fr. 1'692.-- (Gerichtsgebühr Fr. 1'500.--, Schreibgebühren Fr. 192.--) gehen zu Lasten von Y., der zudem X. für das Berufungsverfahren ausseramtlich mit Fr. 1'000.-- einschliesslich Mehrwertsteuer zu entschädigen hat. 4.a) Die dem Berufungsbeklagten auferlegten amtlichen Kosten des Berufungs- verfahrens und die in diesem Verfahrensabschnitt entstandenen Kosten sei- ner Rechtsvertretung werden der Stadt B. in Rechnung gestellt. b) Die Rückforderung der geleisteten Kostenhilfe bleibt im Sinne von Art. 45 Abs. 2 ZPO vorbehalten. 5. Es wird davon Vormerk genommen, dass X. im Falle der nachgewiesenen Uneinbringlichkeit der ihr zu Lasten von Y. zugesprochenen ausseramtlichen Entschädigung die mit Verfügung vom 23. November 2007 gewährte unent- geltliche Rechtspflege zu Lasten des Kantons Graubünden in Anspruch neh- men kann. 6. Gegen diese Entscheidung kann gemäss Art. 72 des Bundesgerichtsgeset- zes (BGG) Beschwerde in Zivilsachen an das Schweizerische Bundesgericht geführt werden. Diese ist dem Bundesgericht schriftlich, innert 30 Tagen seit Eröffnung der vollständigen Ausfertigung der Entscheidung in der gemäss Art. 42 f. BGG vorgeschriebenen Weise einzureichen. Für die Zulässigkeit, die Beschwerdelegitimation, die weiteren Voraussetzungen und das Verfah- ren der Beschwerde gelten die Art. 29 ff., 72 ff. und 90 ff. BGG. 7. Mitteilung an: __________</w:t>
      </w:r>
    </w:p>
    <w:p>
      <w:r>
        <w:rPr>
          <w:b/>
        </w:rPr>
        <w:t>E. 12</w:t>
      </w:r>
    </w:p>
    <w:p>
      <w:r>
        <w:t>Für die Zivilkammer des Kantonsgerichts von Graubünden Der Vizepräsident: Die Aktuarin: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